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CD41" w14:textId="44786886" w:rsidR="00A05D7A" w:rsidRPr="00A05D7A" w:rsidRDefault="00A05D7A" w:rsidP="00A05D7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05D7A">
        <w:rPr>
          <w:rFonts w:ascii="Lato" w:eastAsia="Times New Roman" w:hAnsi="Lato" w:cs="Times New Roman"/>
          <w:color w:val="CC3300"/>
          <w:kern w:val="36"/>
          <w:sz w:val="36"/>
          <w:szCs w:val="36"/>
          <w:lang w:eastAsia="fr-BE"/>
          <w14:ligatures w14:val="none"/>
        </w:rPr>
        <w:t>Métaux non ferreux</w:t>
      </w:r>
      <w:r>
        <w:rPr>
          <w:rFonts w:ascii="Lato" w:eastAsia="Times New Roman" w:hAnsi="Lato" w:cs="Times New Roman"/>
          <w:color w:val="CC3300"/>
          <w:kern w:val="36"/>
          <w:sz w:val="36"/>
          <w:szCs w:val="36"/>
          <w:lang w:eastAsia="fr-BE"/>
          <w14:ligatures w14:val="none"/>
        </w:rPr>
        <w:t>,</w:t>
      </w:r>
      <w:r w:rsidRPr="00A05D7A">
        <w:rPr>
          <w:rFonts w:ascii="Lato" w:eastAsia="Times New Roman" w:hAnsi="Lato" w:cs="Times New Roman"/>
          <w:color w:val="CC3300"/>
          <w:kern w:val="36"/>
          <w:sz w:val="36"/>
          <w:szCs w:val="36"/>
          <w:lang w:eastAsia="fr-BE"/>
          <w14:ligatures w14:val="none"/>
        </w:rPr>
        <w:t xml:space="preserve"> l’activité se contracte à l’approche des congés d’été</w:t>
      </w:r>
    </w:p>
    <w:p w14:paraId="1759F2E3" w14:textId="77777777" w:rsidR="00A05D7A" w:rsidRDefault="00A05D7A" w:rsidP="00A05D7A">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DE81030" w14:textId="501227F0" w:rsidR="00A05D7A" w:rsidRPr="00A05D7A" w:rsidRDefault="00A05D7A" w:rsidP="00A05D7A">
      <w:pPr>
        <w:shd w:val="clear" w:color="auto" w:fill="FFFFFF"/>
        <w:spacing w:before="75" w:after="75" w:line="240" w:lineRule="auto"/>
        <w:jc w:val="both"/>
        <w:rPr>
          <w:rFonts w:ascii="Lato" w:eastAsia="Times New Roman" w:hAnsi="Lato" w:cs="Times New Roman"/>
          <w:b/>
          <w:bCs/>
          <w:color w:val="000000"/>
          <w:kern w:val="0"/>
          <w:sz w:val="23"/>
          <w:szCs w:val="23"/>
          <w:lang w:eastAsia="fr-BE"/>
          <w14:ligatures w14:val="none"/>
        </w:rPr>
      </w:pPr>
      <w:r w:rsidRPr="00A05D7A">
        <w:rPr>
          <w:rFonts w:ascii="Lato" w:eastAsia="Times New Roman" w:hAnsi="Lato" w:cs="Times New Roman"/>
          <w:b/>
          <w:bCs/>
          <w:color w:val="000000"/>
          <w:kern w:val="0"/>
          <w:sz w:val="23"/>
          <w:szCs w:val="23"/>
          <w:lang w:eastAsia="fr-BE"/>
          <w14:ligatures w14:val="none"/>
        </w:rPr>
        <w:t>L’activité se contracte alors que l’on approche de sa la trêve estivale.  Les primes sont globalement stables, exception faite du léger tassement enregistré sur le marché de l’aluminium.</w:t>
      </w:r>
    </w:p>
    <w:p w14:paraId="4AC1F547"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br/>
      </w:r>
      <w:r w:rsidRPr="00A05D7A">
        <w:rPr>
          <w:rFonts w:ascii="Lato" w:eastAsia="Times New Roman" w:hAnsi="Lato" w:cs="Times New Roman"/>
          <w:b/>
          <w:bCs/>
          <w:color w:val="A52A2A"/>
          <w:kern w:val="0"/>
          <w:sz w:val="23"/>
          <w:szCs w:val="23"/>
          <w:lang w:eastAsia="fr-BE"/>
          <w14:ligatures w14:val="none"/>
        </w:rPr>
        <w:t>Aluminium : érosion</w:t>
      </w:r>
    </w:p>
    <w:p w14:paraId="0DEB77BE"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Le marché physique européen est resté sans relief ces derniers jours. Les participants se demandent s’il est plus judicieux d’expédier le métal canadien vers les Etats-Unis ou l’Europe, au regard des droits de douane sur les importations américaines relevés à 50%. « </w:t>
      </w:r>
      <w:r w:rsidRPr="00A05D7A">
        <w:rPr>
          <w:rFonts w:ascii="Lato" w:eastAsia="Times New Roman" w:hAnsi="Lato" w:cs="Times New Roman"/>
          <w:i/>
          <w:iCs/>
          <w:color w:val="000000"/>
          <w:kern w:val="0"/>
          <w:sz w:val="23"/>
          <w:szCs w:val="23"/>
          <w:lang w:eastAsia="fr-BE"/>
          <w14:ligatures w14:val="none"/>
        </w:rPr>
        <w:t>Actuellement, il s'agit avant tout de savoir où expédier le métal canadien</w:t>
      </w:r>
      <w:r w:rsidRPr="00A05D7A">
        <w:rPr>
          <w:rFonts w:ascii="Lato" w:eastAsia="Times New Roman" w:hAnsi="Lato" w:cs="Times New Roman"/>
          <w:color w:val="000000"/>
          <w:kern w:val="0"/>
          <w:sz w:val="23"/>
          <w:szCs w:val="23"/>
          <w:lang w:eastAsia="fr-BE"/>
          <w14:ligatures w14:val="none"/>
        </w:rPr>
        <w:t> », rapporte un trader européen. Dans ces conditions, les primes sur les </w:t>
      </w:r>
      <w:r w:rsidRPr="00A05D7A">
        <w:rPr>
          <w:rFonts w:ascii="Lato" w:eastAsia="Times New Roman" w:hAnsi="Lato" w:cs="Times New Roman"/>
          <w:color w:val="000000"/>
          <w:kern w:val="0"/>
          <w:sz w:val="23"/>
          <w:szCs w:val="23"/>
          <w:u w:val="single"/>
          <w:lang w:eastAsia="fr-BE"/>
          <w14:ligatures w14:val="none"/>
        </w:rPr>
        <w:t>lingots d’aluminium dédouanés</w:t>
      </w:r>
      <w:r w:rsidRPr="00A05D7A">
        <w:rPr>
          <w:rFonts w:ascii="Lato" w:eastAsia="Times New Roman" w:hAnsi="Lato" w:cs="Times New Roman"/>
          <w:color w:val="000000"/>
          <w:kern w:val="0"/>
          <w:sz w:val="23"/>
          <w:szCs w:val="23"/>
          <w:lang w:eastAsia="fr-BE"/>
          <w14:ligatures w14:val="none"/>
        </w:rPr>
        <w:t> se nouent entre 180 et 200 $/t, au départ des entrepôts de </w:t>
      </w:r>
      <w:r w:rsidRPr="00A05D7A">
        <w:rPr>
          <w:rFonts w:ascii="Lato" w:eastAsia="Times New Roman" w:hAnsi="Lato" w:cs="Times New Roman"/>
          <w:b/>
          <w:bCs/>
          <w:color w:val="000000"/>
          <w:kern w:val="0"/>
          <w:sz w:val="23"/>
          <w:szCs w:val="23"/>
          <w:lang w:eastAsia="fr-BE"/>
          <w14:ligatures w14:val="none"/>
        </w:rPr>
        <w:t>Rotterdam</w:t>
      </w:r>
      <w:r w:rsidRPr="00A05D7A">
        <w:rPr>
          <w:rFonts w:ascii="Lato" w:eastAsia="Times New Roman" w:hAnsi="Lato" w:cs="Times New Roman"/>
          <w:color w:val="000000"/>
          <w:kern w:val="0"/>
          <w:sz w:val="23"/>
          <w:szCs w:val="23"/>
          <w:lang w:eastAsia="fr-BE"/>
          <w14:ligatures w14:val="none"/>
        </w:rPr>
        <w:t>. Elles sont stables sur une semaine. « </w:t>
      </w:r>
      <w:r w:rsidRPr="00A05D7A">
        <w:rPr>
          <w:rFonts w:ascii="Lato" w:eastAsia="Times New Roman" w:hAnsi="Lato" w:cs="Times New Roman"/>
          <w:i/>
          <w:iCs/>
          <w:color w:val="000000"/>
          <w:kern w:val="0"/>
          <w:sz w:val="23"/>
          <w:szCs w:val="23"/>
          <w:lang w:eastAsia="fr-BE"/>
          <w14:ligatures w14:val="none"/>
        </w:rPr>
        <w:t>S’il s’agit d’expédier de l’aluminium canadien dans le Midwest américain à des primes comprises entre 70 et 73 cents/lb, alors l’opération est rentable </w:t>
      </w:r>
      <w:r w:rsidRPr="00A05D7A">
        <w:rPr>
          <w:rFonts w:ascii="Lato" w:eastAsia="Times New Roman" w:hAnsi="Lato" w:cs="Times New Roman"/>
          <w:color w:val="000000"/>
          <w:kern w:val="0"/>
          <w:sz w:val="23"/>
          <w:szCs w:val="23"/>
          <w:lang w:eastAsia="fr-BE"/>
          <w14:ligatures w14:val="none"/>
        </w:rPr>
        <w:t>», estime un deuxième trader. La faiblesse de la demande sur le Vieux Continent n’encourage pas les producteurs et traders canadiens à y expédier leur métal, estiment d’autres sources. « </w:t>
      </w:r>
      <w:r w:rsidRPr="00A05D7A">
        <w:rPr>
          <w:rFonts w:ascii="Lato" w:eastAsia="Times New Roman" w:hAnsi="Lato" w:cs="Times New Roman"/>
          <w:i/>
          <w:iCs/>
          <w:color w:val="000000"/>
          <w:kern w:val="0"/>
          <w:sz w:val="23"/>
          <w:szCs w:val="23"/>
          <w:lang w:eastAsia="fr-BE"/>
          <w14:ligatures w14:val="none"/>
        </w:rPr>
        <w:t>Je ne suis pas sûr que l’on puisse trouver des acheteurs en Europe. Cela signifie peut-être que l’été pointe déjà son nez et que les tonnages vont devoir être conservés jusqu’en septembre </w:t>
      </w:r>
      <w:r w:rsidRPr="00A05D7A">
        <w:rPr>
          <w:rFonts w:ascii="Lato" w:eastAsia="Times New Roman" w:hAnsi="Lato" w:cs="Times New Roman"/>
          <w:color w:val="000000"/>
          <w:kern w:val="0"/>
          <w:sz w:val="23"/>
          <w:szCs w:val="23"/>
          <w:lang w:eastAsia="fr-BE"/>
          <w14:ligatures w14:val="none"/>
        </w:rPr>
        <w:t>», ajoute un troisième trader. Par ailleurs, les tensions sur les disponibilités étaient dans tous les esprits après que la Bourse de Londres a demandé à </w:t>
      </w:r>
      <w:proofErr w:type="spellStart"/>
      <w:r w:rsidRPr="00A05D7A">
        <w:rPr>
          <w:rFonts w:ascii="Lato" w:eastAsia="Times New Roman" w:hAnsi="Lato" w:cs="Times New Roman"/>
          <w:b/>
          <w:bCs/>
          <w:color w:val="000000"/>
          <w:kern w:val="0"/>
          <w:sz w:val="23"/>
          <w:szCs w:val="23"/>
          <w:lang w:eastAsia="fr-BE"/>
          <w14:ligatures w14:val="none"/>
        </w:rPr>
        <w:t>Mercuria</w:t>
      </w:r>
      <w:proofErr w:type="spellEnd"/>
      <w:r w:rsidRPr="00A05D7A">
        <w:rPr>
          <w:rFonts w:ascii="Lato" w:eastAsia="Times New Roman" w:hAnsi="Lato" w:cs="Times New Roman"/>
          <w:b/>
          <w:bCs/>
          <w:color w:val="000000"/>
          <w:kern w:val="0"/>
          <w:sz w:val="23"/>
          <w:szCs w:val="23"/>
          <w:lang w:eastAsia="fr-BE"/>
          <w14:ligatures w14:val="none"/>
        </w:rPr>
        <w:t xml:space="preserve"> Energy Group</w:t>
      </w:r>
      <w:r w:rsidRPr="00A05D7A">
        <w:rPr>
          <w:rFonts w:ascii="Lato" w:eastAsia="Times New Roman" w:hAnsi="Lato" w:cs="Times New Roman"/>
          <w:color w:val="000000"/>
          <w:kern w:val="0"/>
          <w:sz w:val="23"/>
          <w:szCs w:val="23"/>
          <w:lang w:eastAsia="fr-BE"/>
          <w14:ligatures w14:val="none"/>
        </w:rPr>
        <w:t> de « prêter » sa position dominante sur l'aluminium à d'autres négociants le 6 juin. Ces tensions se traduisent au niveau des contrats comptant et trois mois, passés ces jours-ci en </w:t>
      </w:r>
      <w:proofErr w:type="spellStart"/>
      <w:r w:rsidRPr="00A05D7A">
        <w:rPr>
          <w:rFonts w:ascii="Lato" w:eastAsia="Times New Roman" w:hAnsi="Lato" w:cs="Times New Roman"/>
          <w:i/>
          <w:iCs/>
          <w:color w:val="000000"/>
          <w:kern w:val="0"/>
          <w:sz w:val="23"/>
          <w:szCs w:val="23"/>
          <w:lang w:eastAsia="fr-BE"/>
          <w14:ligatures w14:val="none"/>
        </w:rPr>
        <w:t>backwardation</w:t>
      </w:r>
      <w:proofErr w:type="spellEnd"/>
      <w:r w:rsidRPr="00A05D7A">
        <w:rPr>
          <w:rFonts w:ascii="Lato" w:eastAsia="Times New Roman" w:hAnsi="Lato" w:cs="Times New Roman"/>
          <w:color w:val="000000"/>
          <w:kern w:val="0"/>
          <w:sz w:val="23"/>
          <w:szCs w:val="23"/>
          <w:lang w:eastAsia="fr-BE"/>
          <w14:ligatures w14:val="none"/>
        </w:rPr>
        <w:t>.</w:t>
      </w:r>
    </w:p>
    <w:p w14:paraId="1D5D6A6C"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Le recul des primes dans le nord du continent, la semaine passée, et la faiblesse de la demande en </w:t>
      </w:r>
      <w:r w:rsidRPr="00A05D7A">
        <w:rPr>
          <w:rFonts w:ascii="Lato" w:eastAsia="Times New Roman" w:hAnsi="Lato" w:cs="Times New Roman"/>
          <w:b/>
          <w:bCs/>
          <w:color w:val="000000"/>
          <w:kern w:val="0"/>
          <w:sz w:val="23"/>
          <w:szCs w:val="23"/>
          <w:lang w:eastAsia="fr-BE"/>
          <w14:ligatures w14:val="none"/>
        </w:rPr>
        <w:t>Italie</w:t>
      </w:r>
      <w:r w:rsidRPr="00A05D7A">
        <w:rPr>
          <w:rFonts w:ascii="Lato" w:eastAsia="Times New Roman" w:hAnsi="Lato" w:cs="Times New Roman"/>
          <w:color w:val="000000"/>
          <w:kern w:val="0"/>
          <w:sz w:val="23"/>
          <w:szCs w:val="23"/>
          <w:lang w:eastAsia="fr-BE"/>
          <w14:ligatures w14:val="none"/>
        </w:rPr>
        <w:t> ont contribué au fléchissement des primes sur le métal disponible sur une base FCA. Ces dernières se sont contractées à 220-245 $/t, contre 230-255 $/t la semaine passée. Quelques transactions ont été finalisées ces derniers jours mais la demande demeure atone. « </w:t>
      </w:r>
      <w:r w:rsidRPr="00A05D7A">
        <w:rPr>
          <w:rFonts w:ascii="Lato" w:eastAsia="Times New Roman" w:hAnsi="Lato" w:cs="Times New Roman"/>
          <w:i/>
          <w:iCs/>
          <w:color w:val="000000"/>
          <w:kern w:val="0"/>
          <w:sz w:val="23"/>
          <w:szCs w:val="23"/>
          <w:lang w:eastAsia="fr-BE"/>
          <w14:ligatures w14:val="none"/>
        </w:rPr>
        <w:t>Les primes FCA Italie sont généralement inférieures de 20 à 30 $/t à celles pratiquées à Rotterdam </w:t>
      </w:r>
      <w:r w:rsidRPr="00A05D7A">
        <w:rPr>
          <w:rFonts w:ascii="Lato" w:eastAsia="Times New Roman" w:hAnsi="Lato" w:cs="Times New Roman"/>
          <w:color w:val="000000"/>
          <w:kern w:val="0"/>
          <w:sz w:val="23"/>
          <w:szCs w:val="23"/>
          <w:lang w:eastAsia="fr-BE"/>
          <w14:ligatures w14:val="none"/>
        </w:rPr>
        <w:t>», rappelle le premier trader. « </w:t>
      </w:r>
      <w:r w:rsidRPr="00A05D7A">
        <w:rPr>
          <w:rFonts w:ascii="Lato" w:eastAsia="Times New Roman" w:hAnsi="Lato" w:cs="Times New Roman"/>
          <w:i/>
          <w:iCs/>
          <w:color w:val="000000"/>
          <w:kern w:val="0"/>
          <w:sz w:val="23"/>
          <w:szCs w:val="23"/>
          <w:lang w:eastAsia="fr-BE"/>
          <w14:ligatures w14:val="none"/>
        </w:rPr>
        <w:t>Certains traders profitent des tensions sur les disponibilités pour délester quelques tonnages avant les congés d’été </w:t>
      </w:r>
      <w:r w:rsidRPr="00A05D7A">
        <w:rPr>
          <w:rFonts w:ascii="Lato" w:eastAsia="Times New Roman" w:hAnsi="Lato" w:cs="Times New Roman"/>
          <w:color w:val="000000"/>
          <w:kern w:val="0"/>
          <w:sz w:val="23"/>
          <w:szCs w:val="23"/>
          <w:lang w:eastAsia="fr-BE"/>
          <w14:ligatures w14:val="none"/>
        </w:rPr>
        <w:t>», indique un quatrième trader.</w:t>
      </w:r>
    </w:p>
    <w:p w14:paraId="23C88621"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Les primes sur les </w:t>
      </w:r>
      <w:r w:rsidRPr="00A05D7A">
        <w:rPr>
          <w:rFonts w:ascii="Lato" w:eastAsia="Times New Roman" w:hAnsi="Lato" w:cs="Times New Roman"/>
          <w:color w:val="000000"/>
          <w:kern w:val="0"/>
          <w:sz w:val="23"/>
          <w:szCs w:val="23"/>
          <w:u w:val="single"/>
          <w:lang w:eastAsia="fr-BE"/>
          <w14:ligatures w14:val="none"/>
        </w:rPr>
        <w:t>lingots non dédouanés</w:t>
      </w:r>
      <w:r w:rsidRPr="00A05D7A">
        <w:rPr>
          <w:rFonts w:ascii="Lato" w:eastAsia="Times New Roman" w:hAnsi="Lato" w:cs="Times New Roman"/>
          <w:color w:val="000000"/>
          <w:kern w:val="0"/>
          <w:sz w:val="23"/>
          <w:szCs w:val="23"/>
          <w:lang w:eastAsia="fr-BE"/>
          <w14:ligatures w14:val="none"/>
        </w:rPr>
        <w:t> au départ de </w:t>
      </w:r>
      <w:r w:rsidRPr="00A05D7A">
        <w:rPr>
          <w:rFonts w:ascii="Lato" w:eastAsia="Times New Roman" w:hAnsi="Lato" w:cs="Times New Roman"/>
          <w:b/>
          <w:bCs/>
          <w:color w:val="000000"/>
          <w:kern w:val="0"/>
          <w:sz w:val="23"/>
          <w:szCs w:val="23"/>
          <w:lang w:eastAsia="fr-BE"/>
          <w14:ligatures w14:val="none"/>
        </w:rPr>
        <w:t>Rotterdam </w:t>
      </w:r>
      <w:r w:rsidRPr="00A05D7A">
        <w:rPr>
          <w:rFonts w:ascii="Lato" w:eastAsia="Times New Roman" w:hAnsi="Lato" w:cs="Times New Roman"/>
          <w:color w:val="000000"/>
          <w:kern w:val="0"/>
          <w:sz w:val="23"/>
          <w:szCs w:val="23"/>
          <w:lang w:eastAsia="fr-BE"/>
          <w14:ligatures w14:val="none"/>
        </w:rPr>
        <w:t>ont reflué, tirées à la baisse par le sentiment que le marché devrait être plus bas, étant donné la contraction des primes au Japon. Les primes sur les </w:t>
      </w:r>
      <w:r w:rsidRPr="00A05D7A">
        <w:rPr>
          <w:rFonts w:ascii="Lato" w:eastAsia="Times New Roman" w:hAnsi="Lato" w:cs="Times New Roman"/>
          <w:color w:val="000000"/>
          <w:kern w:val="0"/>
          <w:sz w:val="23"/>
          <w:szCs w:val="23"/>
          <w:u w:val="single"/>
          <w:lang w:eastAsia="fr-BE"/>
          <w14:ligatures w14:val="none"/>
        </w:rPr>
        <w:t>lingots non dédouanés</w:t>
      </w:r>
      <w:r w:rsidRPr="00A05D7A">
        <w:rPr>
          <w:rFonts w:ascii="Lato" w:eastAsia="Times New Roman" w:hAnsi="Lato" w:cs="Times New Roman"/>
          <w:color w:val="000000"/>
          <w:kern w:val="0"/>
          <w:sz w:val="23"/>
          <w:szCs w:val="23"/>
          <w:lang w:eastAsia="fr-BE"/>
          <w14:ligatures w14:val="none"/>
        </w:rPr>
        <w:t> au départ de </w:t>
      </w:r>
      <w:r w:rsidRPr="00A05D7A">
        <w:rPr>
          <w:rFonts w:ascii="Lato" w:eastAsia="Times New Roman" w:hAnsi="Lato" w:cs="Times New Roman"/>
          <w:b/>
          <w:bCs/>
          <w:color w:val="000000"/>
          <w:kern w:val="0"/>
          <w:sz w:val="23"/>
          <w:szCs w:val="23"/>
          <w:lang w:eastAsia="fr-BE"/>
          <w14:ligatures w14:val="none"/>
        </w:rPr>
        <w:t>Rotterdam </w:t>
      </w:r>
      <w:r w:rsidRPr="00A05D7A">
        <w:rPr>
          <w:rFonts w:ascii="Lato" w:eastAsia="Times New Roman" w:hAnsi="Lato" w:cs="Times New Roman"/>
          <w:color w:val="000000"/>
          <w:kern w:val="0"/>
          <w:sz w:val="23"/>
          <w:szCs w:val="23"/>
          <w:lang w:eastAsia="fr-BE"/>
          <w14:ligatures w14:val="none"/>
        </w:rPr>
        <w:t>ont reculé à 140-160 $/t, contre 150-170 $/t précédemment. Beaucoup s’inquiètent, par ailleurs, des coûts de remplacement des tonnages élevés.</w:t>
      </w:r>
    </w:p>
    <w:p w14:paraId="5ECE721C"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 </w:t>
      </w:r>
    </w:p>
    <w:p w14:paraId="30FC7902"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b/>
          <w:bCs/>
          <w:color w:val="A52A2A"/>
          <w:kern w:val="0"/>
          <w:sz w:val="23"/>
          <w:szCs w:val="23"/>
          <w:lang w:eastAsia="fr-BE"/>
          <w14:ligatures w14:val="none"/>
        </w:rPr>
        <w:t>Cuivre : stable</w:t>
      </w:r>
    </w:p>
    <w:p w14:paraId="60BB1D96"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Les tensions sur les disponibilités en cathodes perdurent, ces dernières étant toujours expédiées en priorité vers les Etats-Unis. Du cuivre d’origine russe serait, en parallèle, exporté vers la Chine, comme en atteste un trader : « </w:t>
      </w:r>
      <w:r w:rsidRPr="00A05D7A">
        <w:rPr>
          <w:rFonts w:ascii="Lato" w:eastAsia="Times New Roman" w:hAnsi="Lato" w:cs="Times New Roman"/>
          <w:i/>
          <w:iCs/>
          <w:color w:val="000000"/>
          <w:kern w:val="0"/>
          <w:sz w:val="23"/>
          <w:szCs w:val="23"/>
          <w:lang w:eastAsia="fr-BE"/>
          <w14:ligatures w14:val="none"/>
        </w:rPr>
        <w:t xml:space="preserve">Les </w:t>
      </w:r>
      <w:proofErr w:type="spellStart"/>
      <w:r w:rsidRPr="00A05D7A">
        <w:rPr>
          <w:rFonts w:ascii="Lato" w:eastAsia="Times New Roman" w:hAnsi="Lato" w:cs="Times New Roman"/>
          <w:i/>
          <w:iCs/>
          <w:color w:val="000000"/>
          <w:kern w:val="0"/>
          <w:sz w:val="23"/>
          <w:szCs w:val="23"/>
          <w:lang w:eastAsia="fr-BE"/>
          <w14:ligatures w14:val="none"/>
        </w:rPr>
        <w:t>cancelled</w:t>
      </w:r>
      <w:proofErr w:type="spellEnd"/>
      <w:r w:rsidRPr="00A05D7A">
        <w:rPr>
          <w:rFonts w:ascii="Lato" w:eastAsia="Times New Roman" w:hAnsi="Lato" w:cs="Times New Roman"/>
          <w:i/>
          <w:iCs/>
          <w:color w:val="000000"/>
          <w:kern w:val="0"/>
          <w:sz w:val="23"/>
          <w:szCs w:val="23"/>
          <w:lang w:eastAsia="fr-BE"/>
          <w14:ligatures w14:val="none"/>
        </w:rPr>
        <w:t xml:space="preserve"> warrants (métal mis de côté en vue d’être livré), dans les entrepôts du LME, ont bondi. Le métal, d’origine russe, est destiné au marché chinois. La Chine recourt au métal russe pour remplacer les tonnages expédiés vers les Etats-Unis. </w:t>
      </w:r>
      <w:r w:rsidRPr="00A05D7A">
        <w:rPr>
          <w:rFonts w:ascii="Lato" w:eastAsia="Times New Roman" w:hAnsi="Lato" w:cs="Times New Roman"/>
          <w:color w:val="000000"/>
          <w:kern w:val="0"/>
          <w:sz w:val="23"/>
          <w:szCs w:val="23"/>
          <w:lang w:eastAsia="fr-BE"/>
          <w14:ligatures w14:val="none"/>
        </w:rPr>
        <w:t>» Les primes sur les </w:t>
      </w:r>
      <w:r w:rsidRPr="00A05D7A">
        <w:rPr>
          <w:rFonts w:ascii="Lato" w:eastAsia="Times New Roman" w:hAnsi="Lato" w:cs="Times New Roman"/>
          <w:color w:val="000000"/>
          <w:kern w:val="0"/>
          <w:sz w:val="23"/>
          <w:szCs w:val="23"/>
          <w:u w:val="single"/>
          <w:lang w:eastAsia="fr-BE"/>
          <w14:ligatures w14:val="none"/>
        </w:rPr>
        <w:t>cathodes livrées</w:t>
      </w:r>
      <w:r w:rsidRPr="00A05D7A">
        <w:rPr>
          <w:rFonts w:ascii="Lato" w:eastAsia="Times New Roman" w:hAnsi="Lato" w:cs="Times New Roman"/>
          <w:color w:val="000000"/>
          <w:kern w:val="0"/>
          <w:sz w:val="23"/>
          <w:szCs w:val="23"/>
          <w:lang w:eastAsia="fr-BE"/>
          <w14:ligatures w14:val="none"/>
        </w:rPr>
        <w:t> en </w:t>
      </w:r>
      <w:r w:rsidRPr="00A05D7A">
        <w:rPr>
          <w:rFonts w:ascii="Lato" w:eastAsia="Times New Roman" w:hAnsi="Lato" w:cs="Times New Roman"/>
          <w:b/>
          <w:bCs/>
          <w:color w:val="000000"/>
          <w:kern w:val="0"/>
          <w:sz w:val="23"/>
          <w:szCs w:val="23"/>
          <w:lang w:eastAsia="fr-BE"/>
          <w14:ligatures w14:val="none"/>
        </w:rPr>
        <w:t>Allemagne</w:t>
      </w:r>
      <w:r w:rsidRPr="00A05D7A">
        <w:rPr>
          <w:rFonts w:ascii="Lato" w:eastAsia="Times New Roman" w:hAnsi="Lato" w:cs="Times New Roman"/>
          <w:color w:val="000000"/>
          <w:kern w:val="0"/>
          <w:sz w:val="23"/>
          <w:szCs w:val="23"/>
          <w:lang w:eastAsia="fr-BE"/>
          <w14:ligatures w14:val="none"/>
        </w:rPr>
        <w:t> demeurent inchangées depuis le 27 mai, à 220-250 $/t. Les primes CIF </w:t>
      </w:r>
      <w:r w:rsidRPr="00A05D7A">
        <w:rPr>
          <w:rFonts w:ascii="Lato" w:eastAsia="Times New Roman" w:hAnsi="Lato" w:cs="Times New Roman"/>
          <w:b/>
          <w:bCs/>
          <w:color w:val="000000"/>
          <w:kern w:val="0"/>
          <w:sz w:val="23"/>
          <w:szCs w:val="23"/>
          <w:lang w:eastAsia="fr-BE"/>
          <w14:ligatures w14:val="none"/>
        </w:rPr>
        <w:t>Livourne </w:t>
      </w:r>
      <w:r w:rsidRPr="00A05D7A">
        <w:rPr>
          <w:rFonts w:ascii="Lato" w:eastAsia="Times New Roman" w:hAnsi="Lato" w:cs="Times New Roman"/>
          <w:color w:val="000000"/>
          <w:kern w:val="0"/>
          <w:sz w:val="23"/>
          <w:szCs w:val="23"/>
          <w:lang w:eastAsia="fr-BE"/>
          <w14:ligatures w14:val="none"/>
        </w:rPr>
        <w:t>(</w:t>
      </w:r>
      <w:r w:rsidRPr="00A05D7A">
        <w:rPr>
          <w:rFonts w:ascii="Lato" w:eastAsia="Times New Roman" w:hAnsi="Lato" w:cs="Times New Roman"/>
          <w:b/>
          <w:bCs/>
          <w:color w:val="000000"/>
          <w:kern w:val="0"/>
          <w:sz w:val="23"/>
          <w:szCs w:val="23"/>
          <w:lang w:eastAsia="fr-BE"/>
          <w14:ligatures w14:val="none"/>
        </w:rPr>
        <w:t>Italie</w:t>
      </w:r>
      <w:r w:rsidRPr="00A05D7A">
        <w:rPr>
          <w:rFonts w:ascii="Lato" w:eastAsia="Times New Roman" w:hAnsi="Lato" w:cs="Times New Roman"/>
          <w:color w:val="000000"/>
          <w:kern w:val="0"/>
          <w:sz w:val="23"/>
          <w:szCs w:val="23"/>
          <w:lang w:eastAsia="fr-BE"/>
          <w14:ligatures w14:val="none"/>
        </w:rPr>
        <w:t xml:space="preserve">) et </w:t>
      </w:r>
      <w:r w:rsidRPr="00A05D7A">
        <w:rPr>
          <w:rFonts w:ascii="Lato" w:eastAsia="Times New Roman" w:hAnsi="Lato" w:cs="Times New Roman"/>
          <w:color w:val="000000"/>
          <w:kern w:val="0"/>
          <w:sz w:val="23"/>
          <w:szCs w:val="23"/>
          <w:lang w:eastAsia="fr-BE"/>
          <w14:ligatures w14:val="none"/>
        </w:rPr>
        <w:lastRenderedPageBreak/>
        <w:t>CIF </w:t>
      </w:r>
      <w:r w:rsidRPr="00A05D7A">
        <w:rPr>
          <w:rFonts w:ascii="Lato" w:eastAsia="Times New Roman" w:hAnsi="Lato" w:cs="Times New Roman"/>
          <w:b/>
          <w:bCs/>
          <w:color w:val="000000"/>
          <w:kern w:val="0"/>
          <w:sz w:val="23"/>
          <w:szCs w:val="23"/>
          <w:lang w:eastAsia="fr-BE"/>
          <w14:ligatures w14:val="none"/>
        </w:rPr>
        <w:t>Rotterdam </w:t>
      </w:r>
      <w:r w:rsidRPr="00A05D7A">
        <w:rPr>
          <w:rFonts w:ascii="Lato" w:eastAsia="Times New Roman" w:hAnsi="Lato" w:cs="Times New Roman"/>
          <w:color w:val="000000"/>
          <w:kern w:val="0"/>
          <w:sz w:val="23"/>
          <w:szCs w:val="23"/>
          <w:lang w:eastAsia="fr-BE"/>
          <w14:ligatures w14:val="none"/>
        </w:rPr>
        <w:t>sont stables également, à 180-200 $/t. Les primes sur les </w:t>
      </w:r>
      <w:r w:rsidRPr="00A05D7A">
        <w:rPr>
          <w:rFonts w:ascii="Lato" w:eastAsia="Times New Roman" w:hAnsi="Lato" w:cs="Times New Roman"/>
          <w:color w:val="000000"/>
          <w:kern w:val="0"/>
          <w:sz w:val="23"/>
          <w:szCs w:val="23"/>
          <w:u w:val="single"/>
          <w:lang w:eastAsia="fr-BE"/>
          <w14:ligatures w14:val="none"/>
        </w:rPr>
        <w:t>cathodes EQ</w:t>
      </w:r>
      <w:r w:rsidRPr="00A05D7A">
        <w:rPr>
          <w:rFonts w:ascii="Lato" w:eastAsia="Times New Roman" w:hAnsi="Lato" w:cs="Times New Roman"/>
          <w:color w:val="000000"/>
          <w:kern w:val="0"/>
          <w:sz w:val="23"/>
          <w:szCs w:val="23"/>
          <w:lang w:eastAsia="fr-BE"/>
          <w14:ligatures w14:val="none"/>
        </w:rPr>
        <w:t> (qualités équivalentes à celles disponibles sur le LME) se sont tassées à 130-140 $/t, contre 130-150 $/t précédemment.</w:t>
      </w:r>
    </w:p>
    <w:p w14:paraId="056AF7DC"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 </w:t>
      </w:r>
    </w:p>
    <w:p w14:paraId="73B369C4"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b/>
          <w:bCs/>
          <w:color w:val="A52A2A"/>
          <w:kern w:val="0"/>
          <w:sz w:val="23"/>
          <w:szCs w:val="23"/>
          <w:lang w:eastAsia="fr-BE"/>
          <w14:ligatures w14:val="none"/>
        </w:rPr>
        <w:t>Nickel : la stabilité toujours de mise</w:t>
      </w:r>
    </w:p>
    <w:p w14:paraId="44ED82E8"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Les primes sur les </w:t>
      </w:r>
      <w:r w:rsidRPr="00A05D7A">
        <w:rPr>
          <w:rFonts w:ascii="Lato" w:eastAsia="Times New Roman" w:hAnsi="Lato" w:cs="Times New Roman"/>
          <w:color w:val="000000"/>
          <w:kern w:val="0"/>
          <w:sz w:val="23"/>
          <w:szCs w:val="23"/>
          <w:u w:val="single"/>
          <w:lang w:eastAsia="fr-BE"/>
          <w14:ligatures w14:val="none"/>
        </w:rPr>
        <w:t>cathodes entières</w:t>
      </w:r>
      <w:r w:rsidRPr="00A05D7A">
        <w:rPr>
          <w:rFonts w:ascii="Lato" w:eastAsia="Times New Roman" w:hAnsi="Lato" w:cs="Times New Roman"/>
          <w:color w:val="000000"/>
          <w:kern w:val="0"/>
          <w:sz w:val="23"/>
          <w:szCs w:val="23"/>
          <w:lang w:eastAsia="fr-BE"/>
          <w14:ligatures w14:val="none"/>
        </w:rPr>
        <w:t> demeurent inchangées, à 220-325 $/t, au départ des entrepôts de </w:t>
      </w:r>
      <w:r w:rsidRPr="00A05D7A">
        <w:rPr>
          <w:rFonts w:ascii="Lato" w:eastAsia="Times New Roman" w:hAnsi="Lato" w:cs="Times New Roman"/>
          <w:b/>
          <w:bCs/>
          <w:color w:val="000000"/>
          <w:kern w:val="0"/>
          <w:sz w:val="23"/>
          <w:szCs w:val="23"/>
          <w:lang w:eastAsia="fr-BE"/>
          <w14:ligatures w14:val="none"/>
        </w:rPr>
        <w:t>Rotterdam</w:t>
      </w:r>
      <w:r w:rsidRPr="00A05D7A">
        <w:rPr>
          <w:rFonts w:ascii="Lato" w:eastAsia="Times New Roman" w:hAnsi="Lato" w:cs="Times New Roman"/>
          <w:color w:val="000000"/>
          <w:kern w:val="0"/>
          <w:sz w:val="23"/>
          <w:szCs w:val="23"/>
          <w:lang w:eastAsia="fr-BE"/>
          <w14:ligatures w14:val="none"/>
        </w:rPr>
        <w:t>. Certaines sources estiment que des primes inférieures pourraient être obtenues. L’une d’entre elles estime que le montant de 200 $/t pourrait être atteint. « </w:t>
      </w:r>
      <w:r w:rsidRPr="00A05D7A">
        <w:rPr>
          <w:rFonts w:ascii="Lato" w:eastAsia="Times New Roman" w:hAnsi="Lato" w:cs="Times New Roman"/>
          <w:i/>
          <w:iCs/>
          <w:color w:val="000000"/>
          <w:kern w:val="0"/>
          <w:sz w:val="23"/>
          <w:szCs w:val="23"/>
          <w:lang w:eastAsia="fr-BE"/>
          <w14:ligatures w14:val="none"/>
        </w:rPr>
        <w:t>Le marché est suffisamment approvisionné et la demande atone </w:t>
      </w:r>
      <w:r w:rsidRPr="00A05D7A">
        <w:rPr>
          <w:rFonts w:ascii="Lato" w:eastAsia="Times New Roman" w:hAnsi="Lato" w:cs="Times New Roman"/>
          <w:color w:val="000000"/>
          <w:kern w:val="0"/>
          <w:sz w:val="23"/>
          <w:szCs w:val="23"/>
          <w:lang w:eastAsia="fr-BE"/>
          <w14:ligatures w14:val="none"/>
        </w:rPr>
        <w:t>», résume une source. « </w:t>
      </w:r>
      <w:r w:rsidRPr="00A05D7A">
        <w:rPr>
          <w:rFonts w:ascii="Lato" w:eastAsia="Times New Roman" w:hAnsi="Lato" w:cs="Times New Roman"/>
          <w:i/>
          <w:iCs/>
          <w:color w:val="000000"/>
          <w:kern w:val="0"/>
          <w:sz w:val="23"/>
          <w:szCs w:val="23"/>
          <w:lang w:eastAsia="fr-BE"/>
          <w14:ligatures w14:val="none"/>
        </w:rPr>
        <w:t>Je suis surpris que les primes soient restées stables aussi longtemps, je m’attendais à ce qu’elles reculent </w:t>
      </w:r>
      <w:r w:rsidRPr="00A05D7A">
        <w:rPr>
          <w:rFonts w:ascii="Lato" w:eastAsia="Times New Roman" w:hAnsi="Lato" w:cs="Times New Roman"/>
          <w:color w:val="000000"/>
          <w:kern w:val="0"/>
          <w:sz w:val="23"/>
          <w:szCs w:val="23"/>
          <w:lang w:eastAsia="fr-BE"/>
          <w14:ligatures w14:val="none"/>
        </w:rPr>
        <w:t>», indique un opérateur.</w:t>
      </w:r>
    </w:p>
    <w:p w14:paraId="66C3DE1D"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Les primes sur les </w:t>
      </w:r>
      <w:r w:rsidRPr="00A05D7A">
        <w:rPr>
          <w:rFonts w:ascii="Lato" w:eastAsia="Times New Roman" w:hAnsi="Lato" w:cs="Times New Roman"/>
          <w:color w:val="000000"/>
          <w:kern w:val="0"/>
          <w:sz w:val="23"/>
          <w:szCs w:val="23"/>
          <w:u w:val="single"/>
          <w:lang w:eastAsia="fr-BE"/>
          <w14:ligatures w14:val="none"/>
        </w:rPr>
        <w:t>cathodes coupées</w:t>
      </w:r>
      <w:r w:rsidRPr="00A05D7A">
        <w:rPr>
          <w:rFonts w:ascii="Lato" w:eastAsia="Times New Roman" w:hAnsi="Lato" w:cs="Times New Roman"/>
          <w:color w:val="000000"/>
          <w:kern w:val="0"/>
          <w:sz w:val="23"/>
          <w:szCs w:val="23"/>
          <w:lang w:eastAsia="fr-BE"/>
          <w14:ligatures w14:val="none"/>
        </w:rPr>
        <w:t> demeurent, elles aussi, inchangées à 300-500 $/t, et ce depuis le 15 avril.</w:t>
      </w:r>
    </w:p>
    <w:p w14:paraId="032CE497"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Les primes sur les </w:t>
      </w:r>
      <w:r w:rsidRPr="00A05D7A">
        <w:rPr>
          <w:rFonts w:ascii="Lato" w:eastAsia="Times New Roman" w:hAnsi="Lato" w:cs="Times New Roman"/>
          <w:color w:val="000000"/>
          <w:kern w:val="0"/>
          <w:sz w:val="23"/>
          <w:szCs w:val="23"/>
          <w:u w:val="single"/>
          <w:lang w:eastAsia="fr-BE"/>
          <w14:ligatures w14:val="none"/>
        </w:rPr>
        <w:t>briquettes</w:t>
      </w:r>
      <w:r w:rsidRPr="00A05D7A">
        <w:rPr>
          <w:rFonts w:ascii="Lato" w:eastAsia="Times New Roman" w:hAnsi="Lato" w:cs="Times New Roman"/>
          <w:color w:val="000000"/>
          <w:kern w:val="0"/>
          <w:sz w:val="23"/>
          <w:szCs w:val="23"/>
          <w:lang w:eastAsia="fr-BE"/>
          <w14:ligatures w14:val="none"/>
        </w:rPr>
        <w:t> se nouent entre 420 et 550 $/t, elles sont stables sur une semaine. « </w:t>
      </w:r>
      <w:r w:rsidRPr="00A05D7A">
        <w:rPr>
          <w:rFonts w:ascii="Lato" w:eastAsia="Times New Roman" w:hAnsi="Lato" w:cs="Times New Roman"/>
          <w:i/>
          <w:iCs/>
          <w:color w:val="000000"/>
          <w:kern w:val="0"/>
          <w:sz w:val="23"/>
          <w:szCs w:val="23"/>
          <w:lang w:eastAsia="fr-BE"/>
          <w14:ligatures w14:val="none"/>
        </w:rPr>
        <w:t>Les usines s’adaptent, elles apprennent à fabriquer de l'acier avec des matières premières moins chères</w:t>
      </w:r>
      <w:r w:rsidRPr="00A05D7A">
        <w:rPr>
          <w:rFonts w:ascii="Lato" w:eastAsia="Times New Roman" w:hAnsi="Lato" w:cs="Times New Roman"/>
          <w:color w:val="000000"/>
          <w:kern w:val="0"/>
          <w:sz w:val="23"/>
          <w:szCs w:val="23"/>
          <w:lang w:eastAsia="fr-BE"/>
          <w14:ligatures w14:val="none"/>
        </w:rPr>
        <w:t>, note une source du marché. </w:t>
      </w:r>
      <w:r w:rsidRPr="00A05D7A">
        <w:rPr>
          <w:rFonts w:ascii="Lato" w:eastAsia="Times New Roman" w:hAnsi="Lato" w:cs="Times New Roman"/>
          <w:i/>
          <w:iCs/>
          <w:color w:val="000000"/>
          <w:kern w:val="0"/>
          <w:sz w:val="23"/>
          <w:szCs w:val="23"/>
          <w:lang w:eastAsia="fr-BE"/>
          <w14:ligatures w14:val="none"/>
        </w:rPr>
        <w:t>Cela signifie qu'elles utilisent moins de briquettes de classe 1 et qu'elles trouvent des moyens de produire avec des matières premières hors spécifications. </w:t>
      </w:r>
      <w:r w:rsidRPr="00A05D7A">
        <w:rPr>
          <w:rFonts w:ascii="Lato" w:eastAsia="Times New Roman" w:hAnsi="Lato" w:cs="Times New Roman"/>
          <w:color w:val="000000"/>
          <w:kern w:val="0"/>
          <w:sz w:val="23"/>
          <w:szCs w:val="23"/>
          <w:lang w:eastAsia="fr-BE"/>
          <w14:ligatures w14:val="none"/>
        </w:rPr>
        <w:t>»</w:t>
      </w:r>
    </w:p>
    <w:p w14:paraId="6C4A3777"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 </w:t>
      </w:r>
    </w:p>
    <w:p w14:paraId="763EBC6D"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b/>
          <w:bCs/>
          <w:color w:val="A52A2A"/>
          <w:kern w:val="0"/>
          <w:sz w:val="23"/>
          <w:szCs w:val="23"/>
          <w:lang w:eastAsia="fr-BE"/>
          <w14:ligatures w14:val="none"/>
        </w:rPr>
        <w:t>Zinc : ferme</w:t>
      </w:r>
    </w:p>
    <w:p w14:paraId="5FCF9D9A"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L’activité a été mince ces derniers jours sur le marché européen du zinc, ce qui n’a pas empêché les primes de rester stables, compte tenu des tensions sur les disponibilités. Les primes FCA </w:t>
      </w:r>
      <w:r w:rsidRPr="00A05D7A">
        <w:rPr>
          <w:rFonts w:ascii="Lato" w:eastAsia="Times New Roman" w:hAnsi="Lato" w:cs="Times New Roman"/>
          <w:b/>
          <w:bCs/>
          <w:color w:val="000000"/>
          <w:kern w:val="0"/>
          <w:sz w:val="23"/>
          <w:szCs w:val="23"/>
          <w:lang w:eastAsia="fr-BE"/>
          <w14:ligatures w14:val="none"/>
        </w:rPr>
        <w:t>Anvers</w:t>
      </w:r>
      <w:r w:rsidRPr="00A05D7A">
        <w:rPr>
          <w:rFonts w:ascii="Lato" w:eastAsia="Times New Roman" w:hAnsi="Lato" w:cs="Times New Roman"/>
          <w:color w:val="000000"/>
          <w:kern w:val="0"/>
          <w:sz w:val="23"/>
          <w:szCs w:val="23"/>
          <w:lang w:eastAsia="fr-BE"/>
          <w14:ligatures w14:val="none"/>
        </w:rPr>
        <w:t> et </w:t>
      </w:r>
      <w:r w:rsidRPr="00A05D7A">
        <w:rPr>
          <w:rFonts w:ascii="Lato" w:eastAsia="Times New Roman" w:hAnsi="Lato" w:cs="Times New Roman"/>
          <w:b/>
          <w:bCs/>
          <w:color w:val="000000"/>
          <w:kern w:val="0"/>
          <w:sz w:val="23"/>
          <w:szCs w:val="23"/>
          <w:lang w:eastAsia="fr-BE"/>
          <w14:ligatures w14:val="none"/>
        </w:rPr>
        <w:t>Rotterdam </w:t>
      </w:r>
      <w:r w:rsidRPr="00A05D7A">
        <w:rPr>
          <w:rFonts w:ascii="Lato" w:eastAsia="Times New Roman" w:hAnsi="Lato" w:cs="Times New Roman"/>
          <w:color w:val="000000"/>
          <w:kern w:val="0"/>
          <w:sz w:val="23"/>
          <w:szCs w:val="23"/>
          <w:lang w:eastAsia="fr-BE"/>
          <w14:ligatures w14:val="none"/>
        </w:rPr>
        <w:t>sont inchangées à 240-270 $/t. « </w:t>
      </w:r>
      <w:r w:rsidRPr="00A05D7A">
        <w:rPr>
          <w:rFonts w:ascii="Lato" w:eastAsia="Times New Roman" w:hAnsi="Lato" w:cs="Times New Roman"/>
          <w:i/>
          <w:iCs/>
          <w:color w:val="000000"/>
          <w:kern w:val="0"/>
          <w:sz w:val="23"/>
          <w:szCs w:val="23"/>
          <w:lang w:eastAsia="fr-BE"/>
          <w14:ligatures w14:val="none"/>
        </w:rPr>
        <w:t>L’offre reste tendue </w:t>
      </w:r>
      <w:r w:rsidRPr="00A05D7A">
        <w:rPr>
          <w:rFonts w:ascii="Lato" w:eastAsia="Times New Roman" w:hAnsi="Lato" w:cs="Times New Roman"/>
          <w:color w:val="000000"/>
          <w:kern w:val="0"/>
          <w:sz w:val="23"/>
          <w:szCs w:val="23"/>
          <w:lang w:eastAsia="fr-BE"/>
          <w14:ligatures w14:val="none"/>
        </w:rPr>
        <w:t>», indique un trader. « </w:t>
      </w:r>
      <w:r w:rsidRPr="00A05D7A">
        <w:rPr>
          <w:rFonts w:ascii="Lato" w:eastAsia="Times New Roman" w:hAnsi="Lato" w:cs="Times New Roman"/>
          <w:i/>
          <w:iCs/>
          <w:color w:val="000000"/>
          <w:kern w:val="0"/>
          <w:sz w:val="23"/>
          <w:szCs w:val="23"/>
          <w:lang w:eastAsia="fr-BE"/>
          <w14:ligatures w14:val="none"/>
        </w:rPr>
        <w:t>Le marché est calme mais nous avons eu de bons mois de mai et juin, en termes de demande. Nous approchons, cependant, de la saison estivale </w:t>
      </w:r>
      <w:r w:rsidRPr="00A05D7A">
        <w:rPr>
          <w:rFonts w:ascii="Lato" w:eastAsia="Times New Roman" w:hAnsi="Lato" w:cs="Times New Roman"/>
          <w:color w:val="000000"/>
          <w:kern w:val="0"/>
          <w:sz w:val="23"/>
          <w:szCs w:val="23"/>
          <w:lang w:eastAsia="fr-BE"/>
          <w14:ligatures w14:val="none"/>
        </w:rPr>
        <w:t>», ajoute un deuxième trader.</w:t>
      </w:r>
    </w:p>
    <w:p w14:paraId="3ADE0E76"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 </w:t>
      </w:r>
    </w:p>
    <w:p w14:paraId="73DDA5D2"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b/>
          <w:bCs/>
          <w:color w:val="A52A2A"/>
          <w:kern w:val="0"/>
          <w:sz w:val="23"/>
          <w:szCs w:val="23"/>
          <w:lang w:eastAsia="fr-BE"/>
          <w14:ligatures w14:val="none"/>
        </w:rPr>
        <w:t>Etain : marché plat</w:t>
      </w:r>
    </w:p>
    <w:p w14:paraId="192F6B24" w14:textId="77777777" w:rsidR="00A05D7A" w:rsidRPr="00A05D7A" w:rsidRDefault="00A05D7A" w:rsidP="00A05D7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05D7A">
        <w:rPr>
          <w:rFonts w:ascii="Lato" w:eastAsia="Times New Roman" w:hAnsi="Lato" w:cs="Times New Roman"/>
          <w:color w:val="000000"/>
          <w:kern w:val="0"/>
          <w:sz w:val="23"/>
          <w:szCs w:val="23"/>
          <w:lang w:eastAsia="fr-BE"/>
          <w14:ligatures w14:val="none"/>
        </w:rPr>
        <w:t>Il ne se passe pas grand-chose sur le marché européen de l’étain, où les primes sur la </w:t>
      </w:r>
      <w:r w:rsidRPr="00A05D7A">
        <w:rPr>
          <w:rFonts w:ascii="Lato" w:eastAsia="Times New Roman" w:hAnsi="Lato" w:cs="Times New Roman"/>
          <w:color w:val="000000"/>
          <w:kern w:val="0"/>
          <w:sz w:val="23"/>
          <w:szCs w:val="23"/>
          <w:u w:val="single"/>
          <w:lang w:eastAsia="fr-BE"/>
          <w14:ligatures w14:val="none"/>
        </w:rPr>
        <w:t>qualité standard</w:t>
      </w:r>
      <w:r w:rsidRPr="00A05D7A">
        <w:rPr>
          <w:rFonts w:ascii="Lato" w:eastAsia="Times New Roman" w:hAnsi="Lato" w:cs="Times New Roman"/>
          <w:color w:val="000000"/>
          <w:kern w:val="0"/>
          <w:sz w:val="23"/>
          <w:szCs w:val="23"/>
          <w:lang w:eastAsia="fr-BE"/>
          <w14:ligatures w14:val="none"/>
        </w:rPr>
        <w:t> et la </w:t>
      </w:r>
      <w:r w:rsidRPr="00A05D7A">
        <w:rPr>
          <w:rFonts w:ascii="Lato" w:eastAsia="Times New Roman" w:hAnsi="Lato" w:cs="Times New Roman"/>
          <w:color w:val="000000"/>
          <w:kern w:val="0"/>
          <w:sz w:val="23"/>
          <w:szCs w:val="23"/>
          <w:u w:val="single"/>
          <w:lang w:eastAsia="fr-BE"/>
          <w14:ligatures w14:val="none"/>
        </w:rPr>
        <w:t>qualité à faible teneur en plomb</w:t>
      </w:r>
      <w:r w:rsidRPr="00A05D7A">
        <w:rPr>
          <w:rFonts w:ascii="Lato" w:eastAsia="Times New Roman" w:hAnsi="Lato" w:cs="Times New Roman"/>
          <w:color w:val="000000"/>
          <w:kern w:val="0"/>
          <w:sz w:val="23"/>
          <w:szCs w:val="23"/>
          <w:lang w:eastAsia="fr-BE"/>
          <w14:ligatures w14:val="none"/>
        </w:rPr>
        <w:t> demeurent étales, respectivement à 750-850 $/t et 900-110 $/t, au départ des entrepôts de </w:t>
      </w:r>
      <w:r w:rsidRPr="00A05D7A">
        <w:rPr>
          <w:rFonts w:ascii="Lato" w:eastAsia="Times New Roman" w:hAnsi="Lato" w:cs="Times New Roman"/>
          <w:b/>
          <w:bCs/>
          <w:color w:val="000000"/>
          <w:kern w:val="0"/>
          <w:sz w:val="23"/>
          <w:szCs w:val="23"/>
          <w:lang w:eastAsia="fr-BE"/>
          <w14:ligatures w14:val="none"/>
        </w:rPr>
        <w:t>Rotterdam</w:t>
      </w:r>
      <w:r w:rsidRPr="00A05D7A">
        <w:rPr>
          <w:rFonts w:ascii="Lato" w:eastAsia="Times New Roman" w:hAnsi="Lato" w:cs="Times New Roman"/>
          <w:color w:val="000000"/>
          <w:kern w:val="0"/>
          <w:sz w:val="23"/>
          <w:szCs w:val="23"/>
          <w:lang w:eastAsia="fr-BE"/>
          <w14:ligatures w14:val="none"/>
        </w:rPr>
        <w:t>. « </w:t>
      </w:r>
      <w:r w:rsidRPr="00A05D7A">
        <w:rPr>
          <w:rFonts w:ascii="Lato" w:eastAsia="Times New Roman" w:hAnsi="Lato" w:cs="Times New Roman"/>
          <w:i/>
          <w:iCs/>
          <w:color w:val="000000"/>
          <w:kern w:val="0"/>
          <w:sz w:val="23"/>
          <w:szCs w:val="23"/>
          <w:lang w:eastAsia="fr-BE"/>
          <w14:ligatures w14:val="none"/>
        </w:rPr>
        <w:t>Le marché est calme ; les magasins du LME sont presque vides </w:t>
      </w:r>
      <w:r w:rsidRPr="00A05D7A">
        <w:rPr>
          <w:rFonts w:ascii="Lato" w:eastAsia="Times New Roman" w:hAnsi="Lato" w:cs="Times New Roman"/>
          <w:color w:val="000000"/>
          <w:kern w:val="0"/>
          <w:sz w:val="23"/>
          <w:szCs w:val="23"/>
          <w:lang w:eastAsia="fr-BE"/>
          <w14:ligatures w14:val="none"/>
        </w:rPr>
        <w:t>», constate un trader. Les </w:t>
      </w:r>
      <w:r w:rsidRPr="00A05D7A">
        <w:rPr>
          <w:rFonts w:ascii="Lato" w:eastAsia="Times New Roman" w:hAnsi="Lato" w:cs="Times New Roman"/>
          <w:i/>
          <w:iCs/>
          <w:color w:val="000000"/>
          <w:kern w:val="0"/>
          <w:sz w:val="23"/>
          <w:szCs w:val="23"/>
          <w:lang w:eastAsia="fr-BE"/>
          <w14:ligatures w14:val="none"/>
        </w:rPr>
        <w:t>warrants </w:t>
      </w:r>
      <w:r w:rsidRPr="00A05D7A">
        <w:rPr>
          <w:rFonts w:ascii="Lato" w:eastAsia="Times New Roman" w:hAnsi="Lato" w:cs="Times New Roman"/>
          <w:color w:val="000000"/>
          <w:kern w:val="0"/>
          <w:sz w:val="23"/>
          <w:szCs w:val="23"/>
          <w:lang w:eastAsia="fr-BE"/>
          <w14:ligatures w14:val="none"/>
        </w:rPr>
        <w:t>(métal disponible) atteignaient 1.765 tonnes mardi 10 juin, un volume en recul de 61,9% par rapport aux 4.630 tonnes répertoriées en début d’année. « </w:t>
      </w:r>
      <w:r w:rsidRPr="00A05D7A">
        <w:rPr>
          <w:rFonts w:ascii="Lato" w:eastAsia="Times New Roman" w:hAnsi="Lato" w:cs="Times New Roman"/>
          <w:i/>
          <w:iCs/>
          <w:color w:val="000000"/>
          <w:kern w:val="0"/>
          <w:sz w:val="23"/>
          <w:szCs w:val="23"/>
          <w:lang w:eastAsia="fr-BE"/>
          <w14:ligatures w14:val="none"/>
        </w:rPr>
        <w:t>Les disponibilités en lingots d’étain à faible teneur en plomb sont tendues </w:t>
      </w:r>
      <w:r w:rsidRPr="00A05D7A">
        <w:rPr>
          <w:rFonts w:ascii="Lato" w:eastAsia="Times New Roman" w:hAnsi="Lato" w:cs="Times New Roman"/>
          <w:color w:val="000000"/>
          <w:kern w:val="0"/>
          <w:sz w:val="23"/>
          <w:szCs w:val="23"/>
          <w:lang w:eastAsia="fr-BE"/>
          <w14:ligatures w14:val="none"/>
        </w:rPr>
        <w:t>», indique un producteur. « </w:t>
      </w:r>
      <w:r w:rsidRPr="00A05D7A">
        <w:rPr>
          <w:rFonts w:ascii="Lato" w:eastAsia="Times New Roman" w:hAnsi="Lato" w:cs="Times New Roman"/>
          <w:i/>
          <w:iCs/>
          <w:color w:val="000000"/>
          <w:kern w:val="0"/>
          <w:sz w:val="23"/>
          <w:szCs w:val="23"/>
          <w:lang w:eastAsia="fr-BE"/>
          <w14:ligatures w14:val="none"/>
        </w:rPr>
        <w:t>Les échanges relatifs aux primes annuelles en revanche vont bon train. L’activité n’est pas si mauvaise que cela, si ce n’est que le marché spot est calme </w:t>
      </w:r>
      <w:r w:rsidRPr="00A05D7A">
        <w:rPr>
          <w:rFonts w:ascii="Lato" w:eastAsia="Times New Roman" w:hAnsi="Lato" w:cs="Times New Roman"/>
          <w:color w:val="000000"/>
          <w:kern w:val="0"/>
          <w:sz w:val="23"/>
          <w:szCs w:val="23"/>
          <w:lang w:eastAsia="fr-BE"/>
          <w14:ligatures w14:val="none"/>
        </w:rPr>
        <w:t>», poursuit le producteur.</w:t>
      </w:r>
    </w:p>
    <w:p w14:paraId="79A8B4D2"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7A"/>
    <w:rsid w:val="00287462"/>
    <w:rsid w:val="00907C87"/>
    <w:rsid w:val="00A05D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EBF2"/>
  <w15:chartTrackingRefBased/>
  <w15:docId w15:val="{2A34B2E4-97D2-481A-BE17-8DD5AF1F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5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05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05D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5D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5D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5D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5D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5D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5D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5D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05D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05D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5D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5D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5D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5D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5D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5D7A"/>
    <w:rPr>
      <w:rFonts w:eastAsiaTheme="majorEastAsia" w:cstheme="majorBidi"/>
      <w:color w:val="272727" w:themeColor="text1" w:themeTint="D8"/>
    </w:rPr>
  </w:style>
  <w:style w:type="paragraph" w:styleId="Titre">
    <w:name w:val="Title"/>
    <w:basedOn w:val="Normal"/>
    <w:next w:val="Normal"/>
    <w:link w:val="TitreCar"/>
    <w:uiPriority w:val="10"/>
    <w:qFormat/>
    <w:rsid w:val="00A05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5D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5D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5D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5D7A"/>
    <w:pPr>
      <w:spacing w:before="160"/>
      <w:jc w:val="center"/>
    </w:pPr>
    <w:rPr>
      <w:i/>
      <w:iCs/>
      <w:color w:val="404040" w:themeColor="text1" w:themeTint="BF"/>
    </w:rPr>
  </w:style>
  <w:style w:type="character" w:customStyle="1" w:styleId="CitationCar">
    <w:name w:val="Citation Car"/>
    <w:basedOn w:val="Policepardfaut"/>
    <w:link w:val="Citation"/>
    <w:uiPriority w:val="29"/>
    <w:rsid w:val="00A05D7A"/>
    <w:rPr>
      <w:i/>
      <w:iCs/>
      <w:color w:val="404040" w:themeColor="text1" w:themeTint="BF"/>
    </w:rPr>
  </w:style>
  <w:style w:type="paragraph" w:styleId="Paragraphedeliste">
    <w:name w:val="List Paragraph"/>
    <w:basedOn w:val="Normal"/>
    <w:uiPriority w:val="34"/>
    <w:qFormat/>
    <w:rsid w:val="00A05D7A"/>
    <w:pPr>
      <w:ind w:left="720"/>
      <w:contextualSpacing/>
    </w:pPr>
  </w:style>
  <w:style w:type="character" w:styleId="Accentuationintense">
    <w:name w:val="Intense Emphasis"/>
    <w:basedOn w:val="Policepardfaut"/>
    <w:uiPriority w:val="21"/>
    <w:qFormat/>
    <w:rsid w:val="00A05D7A"/>
    <w:rPr>
      <w:i/>
      <w:iCs/>
      <w:color w:val="0F4761" w:themeColor="accent1" w:themeShade="BF"/>
    </w:rPr>
  </w:style>
  <w:style w:type="paragraph" w:styleId="Citationintense">
    <w:name w:val="Intense Quote"/>
    <w:basedOn w:val="Normal"/>
    <w:next w:val="Normal"/>
    <w:link w:val="CitationintenseCar"/>
    <w:uiPriority w:val="30"/>
    <w:qFormat/>
    <w:rsid w:val="00A05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5D7A"/>
    <w:rPr>
      <w:i/>
      <w:iCs/>
      <w:color w:val="0F4761" w:themeColor="accent1" w:themeShade="BF"/>
    </w:rPr>
  </w:style>
  <w:style w:type="character" w:styleId="Rfrenceintense">
    <w:name w:val="Intense Reference"/>
    <w:basedOn w:val="Policepardfaut"/>
    <w:uiPriority w:val="32"/>
    <w:qFormat/>
    <w:rsid w:val="00A05D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5033</Characters>
  <Application>Microsoft Office Word</Application>
  <DocSecurity>0</DocSecurity>
  <Lines>41</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2025-06-17T05:07:00Z</dcterms:created>
  <dcterms:modified xsi:type="dcterms:W3CDTF">2025-06-17T05:07:00Z</dcterms:modified>
</cp:coreProperties>
</file>